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6FA8FA6"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80106E">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C2FF9" w:rsidRPr="008C2FF9">
        <w:t xml:space="preserve"> </w:t>
      </w:r>
      <w:r w:rsidR="008C2FF9" w:rsidRPr="008C2FF9">
        <w:rPr>
          <w:rFonts w:ascii="Arial" w:hAnsi="Arial"/>
          <w:b/>
          <w:i/>
          <w:noProof/>
          <w:sz w:val="28"/>
        </w:rPr>
        <w:t>2109823</w:t>
      </w:r>
    </w:p>
    <w:p w14:paraId="5CA9C46A" w14:textId="021D2E3A"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246789">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246789">
        <w:rPr>
          <w:rFonts w:ascii="Arial" w:hAnsi="Arial"/>
          <w:b/>
          <w:noProof/>
          <w:sz w:val="24"/>
        </w:rPr>
        <w:t>7</w:t>
      </w:r>
      <w:r w:rsidRPr="006B42B9">
        <w:rPr>
          <w:rFonts w:ascii="Arial" w:hAnsi="Arial"/>
          <w:b/>
          <w:noProof/>
          <w:sz w:val="24"/>
        </w:rPr>
        <w:t xml:space="preserve"> </w:t>
      </w:r>
      <w:r w:rsidR="00246789">
        <w:rPr>
          <w:rFonts w:ascii="Arial" w:hAnsi="Arial"/>
          <w:b/>
          <w:noProof/>
          <w:sz w:val="24"/>
        </w:rPr>
        <w:t>May</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DAF25D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w:t>
      </w:r>
      <w:r w:rsidR="00D633BC">
        <w:rPr>
          <w:rFonts w:ascii="Arial" w:hAnsi="Arial" w:cs="Arial"/>
          <w:bCs/>
          <w:lang w:val="en-US"/>
        </w:rPr>
        <w:t>OTA unwanted emissions</w:t>
      </w:r>
    </w:p>
    <w:p w14:paraId="7424431B" w14:textId="29B6FF9D"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4B7EB4">
        <w:rPr>
          <w:rFonts w:ascii="Arial" w:hAnsi="Arial" w:cs="Arial"/>
          <w:lang w:val="en-US"/>
        </w:rPr>
        <w:t>9.5.</w:t>
      </w:r>
      <w:r w:rsidR="00D633BC">
        <w:rPr>
          <w:rFonts w:ascii="Arial" w:hAnsi="Arial" w:cs="Arial"/>
          <w:lang w:val="en-US"/>
        </w:rPr>
        <w:t>3</w:t>
      </w:r>
      <w:r w:rsidR="004B7EB4">
        <w:rPr>
          <w:rFonts w:ascii="Arial" w:hAnsi="Arial" w:cs="Arial"/>
          <w:lang w:val="en-US"/>
        </w:rPr>
        <w:t>.</w:t>
      </w:r>
      <w:r w:rsidR="00D633BC">
        <w:rPr>
          <w:rFonts w:ascii="Arial" w:hAnsi="Arial" w:cs="Arial"/>
          <w:lang w:val="en-US"/>
        </w:rPr>
        <w:t>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6BCE0FD8" w:rsidR="004E1DB4" w:rsidRDefault="00080DA2" w:rsidP="004E1DB4">
      <w:pPr>
        <w:tabs>
          <w:tab w:val="left" w:pos="7935"/>
        </w:tabs>
        <w:rPr>
          <w:lang w:val="en-US"/>
        </w:rPr>
      </w:pPr>
      <w:r w:rsidRPr="00080DA2">
        <w:rPr>
          <w:noProof/>
          <w:lang w:val="en-US"/>
        </w:rPr>
        <mc:AlternateContent>
          <mc:Choice Requires="wps">
            <w:drawing>
              <wp:anchor distT="45720" distB="45720" distL="114300" distR="114300" simplePos="0" relativeHeight="251659264" behindDoc="0" locked="0" layoutInCell="1" allowOverlap="1" wp14:anchorId="5C8389C7" wp14:editId="7EBC19C9">
                <wp:simplePos x="0" y="0"/>
                <wp:positionH relativeFrom="column">
                  <wp:posOffset>106045</wp:posOffset>
                </wp:positionH>
                <wp:positionV relativeFrom="paragraph">
                  <wp:posOffset>445770</wp:posOffset>
                </wp:positionV>
                <wp:extent cx="60102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A64DB25" w14:textId="1DBC53CC" w:rsidR="00080DA2" w:rsidRPr="00080DA2" w:rsidRDefault="00080DA2" w:rsidP="00080DA2">
                            <w:pPr>
                              <w:rPr>
                                <w:b/>
                                <w:bCs/>
                                <w:u w:val="single"/>
                                <w:lang w:val="en-US"/>
                              </w:rPr>
                            </w:pPr>
                            <w:r w:rsidRPr="00080DA2">
                              <w:rPr>
                                <w:b/>
                                <w:bCs/>
                                <w:u w:val="single"/>
                                <w:lang w:val="en-US"/>
                              </w:rPr>
                              <w:t>ACLR or some equivalent requirement</w:t>
                            </w:r>
                          </w:p>
                          <w:p w14:paraId="338EDB4C" w14:textId="04D42A3B" w:rsidR="00080DA2" w:rsidRPr="00080DA2" w:rsidRDefault="00080DA2" w:rsidP="00080DA2">
                            <w:r w:rsidRPr="00080DA2">
                              <w:rPr>
                                <w:lang w:val="en-US"/>
                              </w:rPr>
                              <w:t xml:space="preserve">FFS on relative ACLR or some equivalent requirements to match the same adjacent channel protection as NR/IAB spec. </w:t>
                            </w:r>
                          </w:p>
                          <w:p w14:paraId="0A7FB4C6" w14:textId="77777777" w:rsidR="00080DA2" w:rsidRPr="00080DA2" w:rsidRDefault="00080DA2" w:rsidP="00080DA2">
                            <w:r w:rsidRPr="00080DA2">
                              <w:rPr>
                                <w:lang w:val="en-US"/>
                              </w:rPr>
                              <w:t>FFS on whether existing BS OBUE and EVM requirements could sufficiently cover ACLR requirements or not?</w:t>
                            </w:r>
                          </w:p>
                          <w:p w14:paraId="6046D251" w14:textId="77777777" w:rsidR="00080DA2" w:rsidRPr="00080DA2" w:rsidRDefault="00080DA2" w:rsidP="00080DA2">
                            <w:r w:rsidRPr="00080DA2">
                              <w:rPr>
                                <w:lang w:val="en-US"/>
                              </w:rPr>
                              <w:t>The equivalent requirements may include modified OBUE requirements and absolute adjacent channel emissions power.</w:t>
                            </w:r>
                          </w:p>
                          <w:p w14:paraId="17FF44B8" w14:textId="77777777" w:rsidR="00080DA2" w:rsidRPr="00080DA2" w:rsidRDefault="00080DA2" w:rsidP="00080DA2">
                            <w:r w:rsidRPr="00080DA2">
                              <w:rPr>
                                <w:lang w:val="en-US"/>
                              </w:rPr>
                              <w:t xml:space="preserve">FFS on how to set either absolute ACLR or modified OBUE or </w:t>
                            </w:r>
                            <w:proofErr w:type="gramStart"/>
                            <w:r w:rsidRPr="00080DA2">
                              <w:rPr>
                                <w:lang w:val="en-US"/>
                              </w:rPr>
                              <w:t>both of these</w:t>
                            </w:r>
                            <w:proofErr w:type="gramEnd"/>
                            <w:r w:rsidRPr="00080DA2">
                              <w:rPr>
                                <w:lang w:val="en-US"/>
                              </w:rPr>
                              <w:t xml:space="preserve"> two requirements as equivalent requirements. These two requirements are similar absolute metrics with narrower adjacent channel instead of the whole channel BW.</w:t>
                            </w:r>
                          </w:p>
                          <w:p w14:paraId="1A5C57C1" w14:textId="77777777" w:rsidR="00080DA2" w:rsidRDefault="00080DA2">
                            <w:pPr>
                              <w:rPr>
                                <w:b/>
                                <w:bCs/>
                                <w:u w:val="single"/>
                                <w:lang w:val="en-US"/>
                              </w:rPr>
                            </w:pPr>
                          </w:p>
                          <w:p w14:paraId="79208523" w14:textId="2C02F430" w:rsidR="00080DA2" w:rsidRPr="00080DA2" w:rsidRDefault="00080DA2">
                            <w:pPr>
                              <w:rPr>
                                <w:b/>
                                <w:bCs/>
                                <w:u w:val="single"/>
                                <w:lang w:val="en-US"/>
                              </w:rPr>
                            </w:pPr>
                            <w:r>
                              <w:rPr>
                                <w:b/>
                                <w:bCs/>
                                <w:u w:val="single"/>
                                <w:lang w:val="en-US"/>
                              </w:rPr>
                              <w:t>Spurious emissions</w:t>
                            </w:r>
                          </w:p>
                          <w:p w14:paraId="5427551B" w14:textId="77777777" w:rsidR="00080DA2" w:rsidRPr="00080DA2" w:rsidRDefault="00080DA2" w:rsidP="00080DA2">
                            <w:r w:rsidRPr="00080DA2">
                              <w:rPr>
                                <w:lang w:val="en-US"/>
                              </w:rPr>
                              <w:t>At least for DL, the same spurious emissions requirements as BS could be reused for NR repeater including category A/B and protection of ESS.</w:t>
                            </w:r>
                          </w:p>
                          <w:p w14:paraId="03F8DE41" w14:textId="77777777" w:rsidR="00080DA2" w:rsidRPr="00080DA2" w:rsidRDefault="00080DA2" w:rsidP="00080DA2">
                            <w:r w:rsidRPr="00080DA2">
                              <w:rPr>
                                <w:lang w:val="en-US"/>
                              </w:rPr>
                              <w:t>FSS on whether these same requirements could still apply to UL?</w:t>
                            </w:r>
                          </w:p>
                          <w:p w14:paraId="0D9E6DB7" w14:textId="5B42B9B1" w:rsidR="00080DA2" w:rsidRDefault="00080DA2">
                            <w:r w:rsidRPr="00080DA2">
                              <w:rPr>
                                <w:lang w:val="en-US"/>
                              </w:rPr>
                              <w:t>Rx spurious emission is not necessary for FR2 repeater.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8389C7" id="_x0000_t202" coordsize="21600,21600" o:spt="202" path="m,l,21600r21600,l21600,xe">
                <v:stroke joinstyle="miter"/>
                <v:path gradientshapeok="t" o:connecttype="rect"/>
              </v:shapetype>
              <v:shape id="Text Box 2" o:spid="_x0000_s1026" type="#_x0000_t202" style="position:absolute;margin-left:8.35pt;margin-top:35.1pt;width:473.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Bv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">
                <v:textbox style="mso-fit-shape-to-text:t">
                  <w:txbxContent>
                    <w:p w14:paraId="5A64DB25" w14:textId="1DBC53CC" w:rsidR="00080DA2" w:rsidRPr="00080DA2" w:rsidRDefault="00080DA2" w:rsidP="00080DA2">
                      <w:pPr>
                        <w:rPr>
                          <w:b/>
                          <w:bCs/>
                          <w:u w:val="single"/>
                          <w:lang w:val="en-US"/>
                        </w:rPr>
                      </w:pPr>
                      <w:r w:rsidRPr="00080DA2">
                        <w:rPr>
                          <w:b/>
                          <w:bCs/>
                          <w:u w:val="single"/>
                          <w:lang w:val="en-US"/>
                        </w:rPr>
                        <w:t>ACLR or some equivalent requirement</w:t>
                      </w:r>
                    </w:p>
                    <w:p w14:paraId="338EDB4C" w14:textId="04D42A3B" w:rsidR="00080DA2" w:rsidRPr="00080DA2" w:rsidRDefault="00080DA2" w:rsidP="00080DA2">
                      <w:r w:rsidRPr="00080DA2">
                        <w:rPr>
                          <w:lang w:val="en-US"/>
                        </w:rPr>
                        <w:t xml:space="preserve">FFS on relative ACLR or some equivalent requirements to match the same adjacent channel protection as NR/IAB spec. </w:t>
                      </w:r>
                    </w:p>
                    <w:p w14:paraId="0A7FB4C6" w14:textId="77777777" w:rsidR="00080DA2" w:rsidRPr="00080DA2" w:rsidRDefault="00080DA2" w:rsidP="00080DA2">
                      <w:r w:rsidRPr="00080DA2">
                        <w:rPr>
                          <w:lang w:val="en-US"/>
                        </w:rPr>
                        <w:t>FFS on whether existing BS OBUE and EVM requirements could sufficiently cover ACLR requirements or not?</w:t>
                      </w:r>
                    </w:p>
                    <w:p w14:paraId="6046D251" w14:textId="77777777" w:rsidR="00080DA2" w:rsidRPr="00080DA2" w:rsidRDefault="00080DA2" w:rsidP="00080DA2">
                      <w:r w:rsidRPr="00080DA2">
                        <w:rPr>
                          <w:lang w:val="en-US"/>
                        </w:rPr>
                        <w:t>The equivalent requirements may include modified OBUE requirements and absolute adjacent channel emissions power.</w:t>
                      </w:r>
                    </w:p>
                    <w:p w14:paraId="17FF44B8" w14:textId="77777777" w:rsidR="00080DA2" w:rsidRPr="00080DA2" w:rsidRDefault="00080DA2" w:rsidP="00080DA2">
                      <w:r w:rsidRPr="00080DA2">
                        <w:rPr>
                          <w:lang w:val="en-US"/>
                        </w:rPr>
                        <w:t xml:space="preserve">FFS on how to set either absolute ACLR or modified OBUE or </w:t>
                      </w:r>
                      <w:proofErr w:type="gramStart"/>
                      <w:r w:rsidRPr="00080DA2">
                        <w:rPr>
                          <w:lang w:val="en-US"/>
                        </w:rPr>
                        <w:t>both of these</w:t>
                      </w:r>
                      <w:proofErr w:type="gramEnd"/>
                      <w:r w:rsidRPr="00080DA2">
                        <w:rPr>
                          <w:lang w:val="en-US"/>
                        </w:rPr>
                        <w:t xml:space="preserve"> two requirements as equivalent requirements. These two requirements are similar absolute metrics with narrower adjacent channel instead of the whole channel BW.</w:t>
                      </w:r>
                    </w:p>
                    <w:p w14:paraId="1A5C57C1" w14:textId="77777777" w:rsidR="00080DA2" w:rsidRDefault="00080DA2">
                      <w:pPr>
                        <w:rPr>
                          <w:b/>
                          <w:bCs/>
                          <w:u w:val="single"/>
                          <w:lang w:val="en-US"/>
                        </w:rPr>
                      </w:pPr>
                    </w:p>
                    <w:p w14:paraId="79208523" w14:textId="2C02F430" w:rsidR="00080DA2" w:rsidRPr="00080DA2" w:rsidRDefault="00080DA2">
                      <w:pPr>
                        <w:rPr>
                          <w:b/>
                          <w:bCs/>
                          <w:u w:val="single"/>
                          <w:lang w:val="en-US"/>
                        </w:rPr>
                      </w:pPr>
                      <w:r>
                        <w:rPr>
                          <w:b/>
                          <w:bCs/>
                          <w:u w:val="single"/>
                          <w:lang w:val="en-US"/>
                        </w:rPr>
                        <w:t>Spurious emissions</w:t>
                      </w:r>
                    </w:p>
                    <w:p w14:paraId="5427551B" w14:textId="77777777" w:rsidR="00080DA2" w:rsidRPr="00080DA2" w:rsidRDefault="00080DA2" w:rsidP="00080DA2">
                      <w:r w:rsidRPr="00080DA2">
                        <w:rPr>
                          <w:lang w:val="en-US"/>
                        </w:rPr>
                        <w:t>At least for DL, the same spurious emissions requirements as BS could be reused for NR repeater including category A/B and protection of ESS.</w:t>
                      </w:r>
                    </w:p>
                    <w:p w14:paraId="03F8DE41" w14:textId="77777777" w:rsidR="00080DA2" w:rsidRPr="00080DA2" w:rsidRDefault="00080DA2" w:rsidP="00080DA2">
                      <w:r w:rsidRPr="00080DA2">
                        <w:rPr>
                          <w:lang w:val="en-US"/>
                        </w:rPr>
                        <w:t>FSS on whether these same requirements could still apply to UL?</w:t>
                      </w:r>
                    </w:p>
                    <w:p w14:paraId="0D9E6DB7" w14:textId="5B42B9B1" w:rsidR="00080DA2" w:rsidRDefault="00080DA2">
                      <w:r w:rsidRPr="00080DA2">
                        <w:rPr>
                          <w:lang w:val="en-US"/>
                        </w:rPr>
                        <w:t>Rx spurious emission is not necessary for FR2 repeater.</w:t>
                      </w:r>
                    </w:p>
                  </w:txbxContent>
                </v:textbox>
                <w10:wrap type="square"/>
              </v:shape>
            </w:pict>
          </mc:Fallback>
        </mc:AlternateContent>
      </w:r>
      <w:r w:rsidR="004E1DB4">
        <w:rPr>
          <w:lang w:val="en-US"/>
        </w:rPr>
        <w:t>In the Way Forward document [1] from RAN</w:t>
      </w:r>
      <w:r w:rsidR="00097CC6">
        <w:rPr>
          <w:lang w:val="en-US"/>
        </w:rPr>
        <w:t>4#98</w:t>
      </w:r>
      <w:r>
        <w:rPr>
          <w:lang w:val="en-US"/>
        </w:rPr>
        <w:t>-bis-</w:t>
      </w:r>
      <w:r w:rsidR="00097CC6">
        <w:rPr>
          <w:lang w:val="en-US"/>
        </w:rPr>
        <w:t xml:space="preserve">e following </w:t>
      </w:r>
      <w:r>
        <w:rPr>
          <w:lang w:val="en-US"/>
        </w:rPr>
        <w:t>was agreed for FR2:</w:t>
      </w:r>
    </w:p>
    <w:p w14:paraId="60ADAC37" w14:textId="77777777" w:rsidR="00080DA2" w:rsidRDefault="00080DA2" w:rsidP="004E1DB4">
      <w:pPr>
        <w:tabs>
          <w:tab w:val="left" w:pos="7935"/>
        </w:tabs>
        <w:rPr>
          <w:lang w:val="en-US"/>
        </w:rPr>
      </w:pPr>
    </w:p>
    <w:p w14:paraId="66DBE5DF" w14:textId="3A981A02" w:rsidR="00097CC6" w:rsidRDefault="00097CC6" w:rsidP="00904C26">
      <w:pPr>
        <w:tabs>
          <w:tab w:val="left" w:pos="7935"/>
        </w:tabs>
        <w:rPr>
          <w:lang w:val="en-US"/>
        </w:rPr>
      </w:pPr>
      <w:r>
        <w:rPr>
          <w:lang w:val="en-US"/>
        </w:rPr>
        <w:t xml:space="preserve">In this contribution we </w:t>
      </w:r>
      <w:r w:rsidR="007E161C">
        <w:rPr>
          <w:lang w:val="en-US"/>
        </w:rPr>
        <w:t xml:space="preserve">further </w:t>
      </w:r>
      <w:r>
        <w:rPr>
          <w:lang w:val="en-US"/>
        </w:rPr>
        <w:t>elaborate</w:t>
      </w:r>
      <w:r w:rsidR="00080DA2">
        <w:rPr>
          <w:lang w:val="en-US"/>
        </w:rPr>
        <w:t xml:space="preserve"> on how unwanted emissions would be reasonable to specify for NR repeaters</w:t>
      </w:r>
      <w:r>
        <w:rPr>
          <w:lang w:val="en-US"/>
        </w:rPr>
        <w:t xml:space="preserve">. </w:t>
      </w:r>
    </w:p>
    <w:p w14:paraId="7F81FE14" w14:textId="7E5AED55" w:rsidR="002B29CD" w:rsidRPr="002B29CD" w:rsidRDefault="002B29CD" w:rsidP="002B29CD">
      <w:pPr>
        <w:pStyle w:val="Heading1"/>
        <w:numPr>
          <w:ilvl w:val="0"/>
          <w:numId w:val="19"/>
        </w:numPr>
        <w:rPr>
          <w:lang w:val="en-US"/>
        </w:rPr>
      </w:pPr>
      <w:r>
        <w:rPr>
          <w:lang w:val="en-US"/>
        </w:rPr>
        <w:t>Discussion</w:t>
      </w:r>
    </w:p>
    <w:p w14:paraId="75088C4F" w14:textId="6B1D5E02" w:rsidR="001776CD" w:rsidRPr="001776CD" w:rsidRDefault="001776CD" w:rsidP="001776CD">
      <w:pPr>
        <w:tabs>
          <w:tab w:val="left" w:pos="7935"/>
        </w:tabs>
        <w:rPr>
          <w:rFonts w:eastAsia="Batang"/>
          <w:lang w:eastAsia="ko-KR"/>
        </w:rPr>
      </w:pPr>
      <w:r w:rsidRPr="001776CD">
        <w:rPr>
          <w:rFonts w:eastAsia="Batang"/>
          <w:lang w:eastAsia="ko-KR"/>
        </w:rPr>
        <w:t xml:space="preserve">Adjacent Channel Leakage </w:t>
      </w:r>
      <w:proofErr w:type="gramStart"/>
      <w:r w:rsidRPr="001776CD">
        <w:rPr>
          <w:rFonts w:eastAsia="Batang"/>
          <w:lang w:eastAsia="ko-KR"/>
        </w:rPr>
        <w:t>power</w:t>
      </w:r>
      <w:proofErr w:type="gramEnd"/>
      <w:r w:rsidRPr="001776CD">
        <w:rPr>
          <w:rFonts w:eastAsia="Batang"/>
          <w:lang w:eastAsia="ko-KR"/>
        </w:rPr>
        <w:t xml:space="preserve"> Ratio (ACLR) is the ratio of the filtered mean power centred on the assigned channel frequency to the filtered mean power centred on an adjacent channel frequency. Thus, as discussed in </w:t>
      </w:r>
      <w:r w:rsidRPr="001776CD">
        <w:rPr>
          <w:rFonts w:eastAsia="Batang"/>
          <w:lang w:eastAsia="ko-KR"/>
        </w:rPr>
        <w:fldChar w:fldCharType="begin"/>
      </w:r>
      <w:r w:rsidRPr="001776CD">
        <w:rPr>
          <w:rFonts w:eastAsia="Batang"/>
          <w:lang w:eastAsia="ko-KR"/>
        </w:rPr>
        <w:instrText xml:space="preserve"> REF _Ref67692346 \r \h </w:instrText>
      </w:r>
      <w:r w:rsidRPr="001776CD">
        <w:rPr>
          <w:rFonts w:eastAsia="Batang"/>
          <w:lang w:eastAsia="ko-KR"/>
        </w:rPr>
      </w:r>
      <w:r w:rsidRPr="001776CD">
        <w:rPr>
          <w:rFonts w:eastAsia="Batang"/>
          <w:lang w:eastAsia="ko-KR"/>
        </w:rPr>
        <w:fldChar w:fldCharType="separate"/>
      </w:r>
      <w:r w:rsidRPr="001776CD">
        <w:rPr>
          <w:rFonts w:eastAsia="Batang"/>
          <w:lang w:eastAsia="ko-KR"/>
        </w:rPr>
        <w:t>[</w:t>
      </w:r>
      <w:r>
        <w:rPr>
          <w:rFonts w:eastAsia="Batang"/>
          <w:lang w:eastAsia="ko-KR"/>
        </w:rPr>
        <w:t>2</w:t>
      </w:r>
      <w:r w:rsidRPr="001776CD">
        <w:rPr>
          <w:rFonts w:eastAsia="Batang"/>
          <w:lang w:eastAsia="ko-KR"/>
        </w:rPr>
        <w:t>]</w:t>
      </w:r>
      <w:r w:rsidRPr="001776CD">
        <w:rPr>
          <w:rFonts w:eastAsia="Batang"/>
          <w:lang w:eastAsia="ko-KR"/>
        </w:rPr>
        <w:fldChar w:fldCharType="end"/>
      </w:r>
      <w:r w:rsidRPr="001776CD">
        <w:rPr>
          <w:rFonts w:eastAsia="Batang"/>
          <w:lang w:eastAsia="ko-KR"/>
        </w:rPr>
        <w:t xml:space="preserve"> if the signal power is lower, for example if the signal power is in the scale of noise power, then the ACLR cannot be measured.  </w:t>
      </w:r>
    </w:p>
    <w:p w14:paraId="63FBBB71" w14:textId="77777777" w:rsidR="001776CD" w:rsidRPr="001776CD" w:rsidRDefault="001776CD" w:rsidP="001776CD">
      <w:pPr>
        <w:tabs>
          <w:tab w:val="left" w:pos="7935"/>
        </w:tabs>
        <w:rPr>
          <w:rFonts w:eastAsia="Batang"/>
          <w:lang w:eastAsia="ko-KR"/>
        </w:rPr>
      </w:pPr>
      <w:r w:rsidRPr="001776CD">
        <w:rPr>
          <w:rFonts w:eastAsia="Batang"/>
          <w:lang w:eastAsia="ko-KR"/>
        </w:rPr>
        <w:t xml:space="preserve">The operating band unwanted emission (OBUE) is defined as the maximum power that the transmitter (e.g., BS or IAB) can transmit within a predefined bandwidth that ranges within a certain offset from the centre frequency. </w:t>
      </w:r>
    </w:p>
    <w:p w14:paraId="4B52CAEC" w14:textId="6B46424A" w:rsidR="001776CD" w:rsidRPr="001776CD" w:rsidRDefault="001776CD" w:rsidP="001776CD">
      <w:pPr>
        <w:tabs>
          <w:tab w:val="left" w:pos="7935"/>
        </w:tabs>
        <w:rPr>
          <w:rFonts w:eastAsia="Batang"/>
          <w:lang w:eastAsia="ko-KR"/>
        </w:rPr>
      </w:pPr>
      <w:r w:rsidRPr="001776CD">
        <w:rPr>
          <w:rFonts w:eastAsia="Batang"/>
          <w:lang w:eastAsia="ko-KR"/>
        </w:rPr>
        <w:t xml:space="preserve">Based on the above definitions, it is worth noting that the ACLR is defined relative to the desired signal power level, and hence, if the desired power level is low it is not possible to obtain a meaningful ACLR level as instead of emissions the amplified thermal noise will be measured. On the other hand, OBUE defines a maximum threshold or an upper bound to limit the unwanted transmissions in the adjacent </w:t>
      </w:r>
      <w:r w:rsidR="00B42B6D" w:rsidRPr="001776CD">
        <w:rPr>
          <w:rFonts w:eastAsia="Batang"/>
          <w:lang w:eastAsia="ko-KR"/>
        </w:rPr>
        <w:t>bands and</w:t>
      </w:r>
      <w:r w:rsidRPr="001776CD">
        <w:rPr>
          <w:rFonts w:eastAsia="Batang"/>
          <w:lang w:eastAsia="ko-KR"/>
        </w:rPr>
        <w:t xml:space="preserve"> does not depend on the desired signal power levels. In case of repeaters, it is meaningful to use a parameter which is independent of the</w:t>
      </w:r>
      <w:r w:rsidR="00B42B6D">
        <w:rPr>
          <w:rFonts w:eastAsia="Batang"/>
          <w:lang w:eastAsia="ko-KR"/>
        </w:rPr>
        <w:t xml:space="preserve"> </w:t>
      </w:r>
      <w:r w:rsidRPr="001776CD">
        <w:rPr>
          <w:rFonts w:eastAsia="Batang"/>
          <w:lang w:eastAsia="ko-KR"/>
        </w:rPr>
        <w:t xml:space="preserve">wanted signal power level to </w:t>
      </w:r>
      <w:r w:rsidRPr="001776CD">
        <w:rPr>
          <w:rFonts w:eastAsia="Batang"/>
          <w:lang w:eastAsia="ko-KR"/>
        </w:rPr>
        <w:lastRenderedPageBreak/>
        <w:t xml:space="preserve">measure the unwanted emissions in the adjacent bands. Instead of ACLR, the OBUE can be used as it is simply a threshold, which is independent and act as an upper bound to limit the emissions.  </w:t>
      </w:r>
    </w:p>
    <w:p w14:paraId="423F96A7" w14:textId="77777777" w:rsidR="001776CD" w:rsidRPr="001776CD" w:rsidRDefault="001776CD" w:rsidP="001776CD">
      <w:pPr>
        <w:tabs>
          <w:tab w:val="left" w:pos="7935"/>
        </w:tabs>
        <w:rPr>
          <w:b/>
          <w:bCs/>
          <w:i/>
          <w:iCs/>
        </w:rPr>
      </w:pPr>
      <w:bookmarkStart w:id="1" w:name="_Ref67750587"/>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rPr>
        <w:t>1</w:t>
      </w:r>
      <w:r w:rsidRPr="001776CD">
        <w:rPr>
          <w:b/>
          <w:bCs/>
          <w:i/>
          <w:iCs/>
        </w:rPr>
        <w:fldChar w:fldCharType="end"/>
      </w:r>
      <w:r w:rsidRPr="001776CD">
        <w:rPr>
          <w:b/>
          <w:bCs/>
          <w:i/>
          <w:iCs/>
        </w:rPr>
        <w:t>: As ACLR depends on the desired signal power, it may not be measurable if the desired signal power is very or if it is in the scale of noise power level.</w:t>
      </w:r>
      <w:bookmarkEnd w:id="1"/>
      <w:r w:rsidRPr="001776CD">
        <w:rPr>
          <w:b/>
          <w:bCs/>
          <w:i/>
          <w:iCs/>
        </w:rPr>
        <w:t xml:space="preserve"> </w:t>
      </w:r>
    </w:p>
    <w:p w14:paraId="1C83531F" w14:textId="016A04CD" w:rsidR="001776CD" w:rsidRDefault="001776CD" w:rsidP="001776CD">
      <w:pPr>
        <w:tabs>
          <w:tab w:val="left" w:pos="7935"/>
        </w:tabs>
        <w:rPr>
          <w:b/>
          <w:bCs/>
          <w:i/>
          <w:iCs/>
        </w:rPr>
      </w:pPr>
      <w:bookmarkStart w:id="2" w:name="_Ref67750598"/>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OBUE is an upper bound, which is independent on the signal power level, defined to limit the unwanted emissions in the adjacent bands.</w:t>
      </w:r>
      <w:bookmarkEnd w:id="2"/>
      <w:r w:rsidRPr="001776CD">
        <w:rPr>
          <w:b/>
          <w:bCs/>
          <w:i/>
          <w:iCs/>
        </w:rPr>
        <w:t xml:space="preserve"> </w:t>
      </w:r>
    </w:p>
    <w:p w14:paraId="5B46DFF2" w14:textId="6C09C272" w:rsidR="00B42B6D" w:rsidRPr="001776CD" w:rsidRDefault="00B42B6D" w:rsidP="001776CD">
      <w:pPr>
        <w:tabs>
          <w:tab w:val="left" w:pos="7935"/>
        </w:tabs>
        <w:rPr>
          <w:rFonts w:eastAsia="Batang"/>
          <w:lang w:eastAsia="ko-KR"/>
        </w:rPr>
      </w:pPr>
      <w:r>
        <w:rPr>
          <w:lang w:val="en-US" w:eastAsia="zh-CN"/>
        </w:rPr>
        <w:t xml:space="preserve">On the other hand, for lower output power, although spectrum mask and spurious emission can be met, ACLR is still required to make sure neighboring channel is not disturbed.  For beam forming with large number of antenna elements, the coupling between antennas could be a problem causing intermodulation between power amplifiers, which will </w:t>
      </w:r>
      <w:proofErr w:type="gramStart"/>
      <w:r>
        <w:rPr>
          <w:lang w:val="en-US" w:eastAsia="zh-CN"/>
        </w:rPr>
        <w:t>results</w:t>
      </w:r>
      <w:proofErr w:type="gramEnd"/>
      <w:r>
        <w:rPr>
          <w:lang w:val="en-US" w:eastAsia="zh-CN"/>
        </w:rPr>
        <w:t xml:space="preserve"> in worse ACLR. Therefore, we see that ACLR is necessary to specify. However, it should be further discussed in performance part whether it can be verified.</w:t>
      </w:r>
    </w:p>
    <w:p w14:paraId="7518868E" w14:textId="490A3EF3" w:rsidR="001776CD" w:rsidRDefault="001776CD" w:rsidP="001776CD">
      <w:pPr>
        <w:tabs>
          <w:tab w:val="left" w:pos="7935"/>
        </w:tabs>
        <w:rPr>
          <w:b/>
          <w:bCs/>
          <w:i/>
          <w:iCs/>
        </w:rPr>
      </w:pPr>
      <w:bookmarkStart w:id="3" w:name="_Ref67750612"/>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1</w:t>
      </w:r>
      <w:r w:rsidRPr="001776CD">
        <w:rPr>
          <w:b/>
          <w:bCs/>
          <w:i/>
          <w:iCs/>
        </w:rPr>
        <w:fldChar w:fldCharType="end"/>
      </w:r>
      <w:r w:rsidRPr="001776CD">
        <w:rPr>
          <w:b/>
          <w:bCs/>
          <w:i/>
          <w:iCs/>
        </w:rPr>
        <w:t>: For NR repeaters, if the signal level is in the scale of noise power level, it is meaningful to use OBUE as a metric to measure the unwanted emissions in the adjacent channels, instead of ACLR.</w:t>
      </w:r>
      <w:bookmarkEnd w:id="3"/>
      <w:r w:rsidRPr="001776CD">
        <w:rPr>
          <w:b/>
          <w:bCs/>
          <w:i/>
          <w:iCs/>
        </w:rPr>
        <w:t xml:space="preserve"> </w:t>
      </w:r>
    </w:p>
    <w:p w14:paraId="291DD522" w14:textId="7C915164" w:rsidR="00B42B6D" w:rsidRPr="001776CD" w:rsidRDefault="00B42B6D" w:rsidP="001776CD">
      <w:pPr>
        <w:tabs>
          <w:tab w:val="left" w:pos="7935"/>
        </w:tabs>
        <w:rPr>
          <w:rFonts w:eastAsia="Batang"/>
          <w:lang w:eastAsia="ko-KR"/>
        </w:rPr>
      </w:pPr>
      <w:r>
        <w:rPr>
          <w:b/>
          <w:bCs/>
          <w:i/>
          <w:iCs/>
        </w:rPr>
        <w:t>Proposal 2: Specify relative ACLR to guarantee emissions performance at lower than maximum output power level. Further discuss in performance part of the work whether ACLR can be verified.</w:t>
      </w:r>
    </w:p>
    <w:bookmarkStart w:id="4" w:name="_Ref67778034"/>
    <w:p w14:paraId="48EEDB90" w14:textId="41C73A60" w:rsidR="001776CD" w:rsidRPr="001776CD" w:rsidRDefault="001776CD" w:rsidP="001776CD">
      <w:pPr>
        <w:tabs>
          <w:tab w:val="left" w:pos="7935"/>
        </w:tabs>
        <w:rPr>
          <w:rFonts w:eastAsia="Batang"/>
          <w:lang w:eastAsia="ko-KR"/>
        </w:rPr>
      </w:pPr>
      <w:r w:rsidRPr="001776CD">
        <w:rPr>
          <w:b/>
          <w:bCs/>
          <w:i/>
          <w:iCs/>
        </w:rPr>
        <w:fldChar w:fldCharType="begin"/>
      </w:r>
      <w:r w:rsidRPr="001776CD">
        <w:rPr>
          <w:b/>
          <w:bCs/>
          <w:i/>
          <w:iCs/>
        </w:rPr>
        <w:instrText xml:space="preserve"> SEQ Observation \* ARABIC </w:instrText>
      </w:r>
      <w:r w:rsidRPr="001776CD">
        <w:rPr>
          <w:b/>
          <w:bCs/>
          <w:i/>
          <w:iCs/>
        </w:rPr>
        <w:fldChar w:fldCharType="end"/>
      </w:r>
      <w:bookmarkEnd w:id="4"/>
      <w:r w:rsidRPr="001776CD">
        <w:rPr>
          <w:rFonts w:eastAsia="Batang"/>
          <w:lang w:eastAsia="ko-KR"/>
        </w:rPr>
        <w:t xml:space="preserve">For BS or IAB operating in </w:t>
      </w:r>
      <w:proofErr w:type="spellStart"/>
      <w:r w:rsidRPr="001776CD">
        <w:rPr>
          <w:rFonts w:eastAsia="Batang"/>
          <w:lang w:eastAsia="ko-KR"/>
        </w:rPr>
        <w:t>noncontiguous</w:t>
      </w:r>
      <w:proofErr w:type="spellEnd"/>
      <w:r w:rsidRPr="001776CD">
        <w:rPr>
          <w:rFonts w:eastAsia="Batang"/>
          <w:lang w:eastAsia="ko-KR"/>
        </w:rPr>
        <w:t xml:space="preserve"> spectrum, cumulative ACLR (CACLR) is used to measure unwanted emissions in the adjacent bands and aligned with earlier observation it will not be a suitable metric either.</w:t>
      </w:r>
    </w:p>
    <w:p w14:paraId="0E6A0566" w14:textId="1326C0E6" w:rsidR="001776CD" w:rsidRPr="001776CD" w:rsidRDefault="001776CD" w:rsidP="001776CD">
      <w:pPr>
        <w:tabs>
          <w:tab w:val="left" w:pos="7935"/>
        </w:tabs>
        <w:rPr>
          <w:rFonts w:eastAsia="Batang"/>
          <w:lang w:eastAsia="ko-KR"/>
        </w:rPr>
      </w:pPr>
      <w:bookmarkStart w:id="5" w:name="_Hlk67834416"/>
      <w:bookmarkStart w:id="6" w:name="_Ref67779674"/>
      <w:r w:rsidRPr="001776CD">
        <w:rPr>
          <w:b/>
          <w:bCs/>
          <w:i/>
          <w:iCs/>
        </w:rPr>
        <w:t>Observation 3</w:t>
      </w:r>
      <w:r>
        <w:rPr>
          <w:b/>
          <w:bCs/>
          <w:i/>
          <w:iCs/>
        </w:rPr>
        <w:t>: i</w:t>
      </w:r>
      <w:r w:rsidRPr="001776CD">
        <w:rPr>
          <w:b/>
          <w:bCs/>
          <w:i/>
          <w:iCs/>
        </w:rPr>
        <w:fldChar w:fldCharType="begin"/>
      </w:r>
      <w:r w:rsidRPr="001776CD">
        <w:rPr>
          <w:b/>
          <w:bCs/>
          <w:i/>
          <w:iCs/>
        </w:rPr>
        <w:instrText xml:space="preserve"> SEQ Observation \* ARABIC </w:instrText>
      </w:r>
      <w:r w:rsidRPr="001776CD">
        <w:rPr>
          <w:b/>
          <w:bCs/>
          <w:i/>
          <w:iCs/>
        </w:rPr>
        <w:fldChar w:fldCharType="end"/>
      </w:r>
      <w:r w:rsidRPr="001776CD">
        <w:rPr>
          <w:b/>
          <w:bCs/>
          <w:i/>
          <w:iCs/>
        </w:rPr>
        <w:t xml:space="preserve">n </w:t>
      </w:r>
      <w:bookmarkEnd w:id="5"/>
      <w:r w:rsidRPr="001776CD">
        <w:rPr>
          <w:b/>
          <w:bCs/>
          <w:i/>
          <w:iCs/>
        </w:rPr>
        <w:t xml:space="preserve">case of NR repeaters that operate in </w:t>
      </w:r>
      <w:proofErr w:type="spellStart"/>
      <w:r w:rsidRPr="001776CD">
        <w:rPr>
          <w:b/>
          <w:bCs/>
          <w:i/>
          <w:iCs/>
        </w:rPr>
        <w:t>noncontiguous</w:t>
      </w:r>
      <w:proofErr w:type="spellEnd"/>
      <w:r w:rsidRPr="001776CD">
        <w:rPr>
          <w:b/>
          <w:bCs/>
          <w:i/>
          <w:iCs/>
        </w:rPr>
        <w:t xml:space="preserve"> spectrum, CACLR may not be a suitable metric to measure the unwanted emissions in the adjacent band.</w:t>
      </w:r>
      <w:bookmarkEnd w:id="6"/>
      <w:r w:rsidRPr="001776CD">
        <w:rPr>
          <w:b/>
          <w:bCs/>
          <w:i/>
          <w:iCs/>
        </w:rPr>
        <w:t xml:space="preserve"> </w:t>
      </w:r>
    </w:p>
    <w:p w14:paraId="145DC49E" w14:textId="77777777" w:rsidR="001776CD" w:rsidRPr="001776CD" w:rsidRDefault="001776CD" w:rsidP="001776CD">
      <w:pPr>
        <w:tabs>
          <w:tab w:val="left" w:pos="7935"/>
        </w:tabs>
        <w:rPr>
          <w:b/>
          <w:bCs/>
          <w:i/>
          <w:iCs/>
        </w:rPr>
      </w:pPr>
      <w:bookmarkStart w:id="7" w:name="_Ref67780208"/>
      <w:bookmarkStart w:id="8" w:name="_Hlk67779617"/>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For NR repeaters that operate in </w:t>
      </w:r>
      <w:proofErr w:type="spellStart"/>
      <w:r w:rsidRPr="001776CD">
        <w:rPr>
          <w:b/>
          <w:bCs/>
          <w:i/>
          <w:iCs/>
        </w:rPr>
        <w:t>noncontiguous</w:t>
      </w:r>
      <w:proofErr w:type="spellEnd"/>
      <w:r w:rsidRPr="001776CD">
        <w:rPr>
          <w:b/>
          <w:bCs/>
          <w:i/>
          <w:iCs/>
        </w:rPr>
        <w:t xml:space="preserve"> spectrum, OBUE can be used to measure the unwanted emissions in each sub-block gap.</w:t>
      </w:r>
      <w:bookmarkEnd w:id="7"/>
    </w:p>
    <w:bookmarkStart w:id="9" w:name="_Ref67835140"/>
    <w:p w14:paraId="12657F89" w14:textId="77777777" w:rsidR="001776CD" w:rsidRDefault="001776CD" w:rsidP="001776CD">
      <w:pPr>
        <w:pStyle w:val="ListParagraph"/>
        <w:tabs>
          <w:tab w:val="left" w:pos="7935"/>
        </w:tabs>
        <w:ind w:left="0"/>
      </w:pPr>
      <w:r w:rsidRPr="001776CD">
        <w:rPr>
          <w:rFonts w:eastAsia="Batang"/>
          <w:lang w:eastAsia="ko-KR"/>
        </w:rPr>
        <w:fldChar w:fldCharType="begin"/>
      </w:r>
      <w:r w:rsidRPr="001776CD">
        <w:rPr>
          <w:rFonts w:eastAsia="Batang"/>
          <w:lang w:eastAsia="ko-KR"/>
        </w:rPr>
        <w:instrText xml:space="preserve"> SEQ Observation \* ARABIC </w:instrText>
      </w:r>
      <w:r w:rsidRPr="001776CD">
        <w:rPr>
          <w:rFonts w:eastAsia="Batang"/>
          <w:lang w:eastAsia="ko-KR"/>
        </w:rPr>
        <w:fldChar w:fldCharType="end"/>
      </w:r>
      <w:bookmarkEnd w:id="8"/>
      <w:bookmarkEnd w:id="9"/>
      <w:r w:rsidRPr="001776CD">
        <w:rPr>
          <w:rFonts w:eastAsia="Batang"/>
          <w:lang w:eastAsia="ko-KR"/>
        </w:rPr>
        <w:t>When it comes to applicable emissions levels for OBUE, one attractive option is the directly re-use gNB or IAB OBUE requirements. However, more careful considerations are likely needed as ACLR helps to regulate gNB and IAB emissions, and therefore adopting gNB or IAB OBUE requirement without any modifications could result in providing less protection to adjacent channels. One option is to adapt OBUE level to match the same level of adjacent channel protection as the full set of gNB/IAB requirements provide</w:t>
      </w:r>
      <w:r w:rsidRPr="4596B4FE">
        <w:t>.</w:t>
      </w:r>
    </w:p>
    <w:p w14:paraId="08C86CC2" w14:textId="77777777" w:rsidR="001776CD" w:rsidRDefault="001776CD" w:rsidP="001776CD">
      <w:pPr>
        <w:pStyle w:val="ListParagraph"/>
        <w:tabs>
          <w:tab w:val="left" w:pos="7935"/>
        </w:tabs>
        <w:ind w:left="0"/>
      </w:pPr>
    </w:p>
    <w:p w14:paraId="34BB9A31" w14:textId="0CDAECE9" w:rsidR="00AD23B5" w:rsidRDefault="001776CD" w:rsidP="001776CD">
      <w:pPr>
        <w:pStyle w:val="ListParagraph"/>
        <w:tabs>
          <w:tab w:val="left" w:pos="7935"/>
        </w:tabs>
        <w:ind w:left="0"/>
        <w:rPr>
          <w:b/>
          <w:bCs/>
          <w:i/>
          <w:iCs/>
        </w:rPr>
      </w:pPr>
      <w:r w:rsidRPr="001776CD">
        <w:rPr>
          <w:b/>
          <w:bCs/>
          <w:i/>
          <w:iCs/>
        </w:rPr>
        <w:t xml:space="preserve">Observation 4: Direct re-use of gNB/IAB OBUE requirements may not be possible as it would result in different level of protection for adjacent channel operation in case no ACLR </w:t>
      </w:r>
      <w:r w:rsidR="00B42B6D">
        <w:rPr>
          <w:b/>
          <w:bCs/>
          <w:i/>
          <w:iCs/>
        </w:rPr>
        <w:t>verification test can be defined</w:t>
      </w:r>
      <w:r w:rsidRPr="001776CD">
        <w:rPr>
          <w:b/>
          <w:bCs/>
          <w:i/>
          <w:iCs/>
        </w:rPr>
        <w:t>.</w:t>
      </w:r>
    </w:p>
    <w:p w14:paraId="1E29BFBB" w14:textId="42AD1E0F" w:rsidR="00B42B6D" w:rsidRDefault="00B42B6D" w:rsidP="001776CD">
      <w:pPr>
        <w:pStyle w:val="ListParagraph"/>
        <w:tabs>
          <w:tab w:val="left" w:pos="7935"/>
        </w:tabs>
        <w:ind w:left="0"/>
        <w:rPr>
          <w:b/>
          <w:bCs/>
          <w:i/>
          <w:iCs/>
        </w:rPr>
      </w:pPr>
    </w:p>
    <w:p w14:paraId="0666F6FA" w14:textId="51F28BF8" w:rsidR="00B42B6D" w:rsidRDefault="00B42B6D" w:rsidP="001776CD">
      <w:pPr>
        <w:pStyle w:val="ListParagraph"/>
        <w:tabs>
          <w:tab w:val="left" w:pos="7935"/>
        </w:tabs>
        <w:ind w:left="0"/>
        <w:rPr>
          <w:b/>
          <w:bCs/>
          <w:i/>
          <w:iCs/>
        </w:rPr>
      </w:pPr>
      <w:r>
        <w:rPr>
          <w:b/>
          <w:bCs/>
          <w:i/>
          <w:iCs/>
        </w:rPr>
        <w:t>Proposal 3: To guarantee emission performance at maximum output power level in case ACLR verification test is not possible, set OBUE emission level to correspond with relative ACLR emission limit</w:t>
      </w:r>
    </w:p>
    <w:p w14:paraId="60F093DD" w14:textId="08657F46" w:rsidR="00D633BC" w:rsidRDefault="00D633BC" w:rsidP="001776CD">
      <w:pPr>
        <w:pStyle w:val="ListParagraph"/>
        <w:tabs>
          <w:tab w:val="left" w:pos="7935"/>
        </w:tabs>
        <w:ind w:left="0"/>
        <w:rPr>
          <w:b/>
          <w:bCs/>
          <w:i/>
          <w:iCs/>
        </w:rPr>
      </w:pPr>
    </w:p>
    <w:p w14:paraId="5B1D42CD" w14:textId="102763F9" w:rsidR="00D633BC" w:rsidRPr="00D633BC" w:rsidRDefault="00D633BC" w:rsidP="001776CD">
      <w:pPr>
        <w:pStyle w:val="ListParagraph"/>
        <w:tabs>
          <w:tab w:val="left" w:pos="7935"/>
        </w:tabs>
        <w:ind w:left="0"/>
      </w:pPr>
      <w:r w:rsidRPr="00D633BC">
        <w:t>Furthermore,</w:t>
      </w:r>
      <w:r>
        <w:t xml:space="preserve"> we think that the baseline of the emission levels should be set based on gNB emission levels, i.e. 28 </w:t>
      </w:r>
      <w:proofErr w:type="spellStart"/>
      <w:r>
        <w:t>dBc</w:t>
      </w:r>
      <w:proofErr w:type="spellEnd"/>
      <w:r>
        <w:t xml:space="preserve"> ACLR, and the limit should be the same both for UL and DL transmissions. This will mean the in UL the limit will be more stringent than UE limit, but on the other hand also expected maximum repeater output power is higher than maximum power class 3 UE transmission power. A possible exception to this rule can be additional emission requirements which are specified as absolute power limits, such as EESS protection. If repeater can meet same absolute power limit, it is guaranteed it does not cause more interference than a regular UE</w:t>
      </w:r>
    </w:p>
    <w:p w14:paraId="29C9344D" w14:textId="77777777" w:rsidR="00D633BC" w:rsidRDefault="00D633BC" w:rsidP="001776CD">
      <w:pPr>
        <w:pStyle w:val="ListParagraph"/>
        <w:tabs>
          <w:tab w:val="left" w:pos="7935"/>
        </w:tabs>
        <w:ind w:left="0"/>
        <w:rPr>
          <w:b/>
          <w:bCs/>
          <w:i/>
          <w:iCs/>
        </w:rPr>
      </w:pPr>
    </w:p>
    <w:p w14:paraId="38D048D1" w14:textId="193346FC" w:rsidR="00D633BC" w:rsidRPr="001776CD" w:rsidRDefault="00D633BC" w:rsidP="001776CD">
      <w:pPr>
        <w:pStyle w:val="ListParagraph"/>
        <w:tabs>
          <w:tab w:val="left" w:pos="7935"/>
        </w:tabs>
        <w:ind w:left="0"/>
        <w:rPr>
          <w:b/>
          <w:bCs/>
          <w:i/>
          <w:iCs/>
        </w:rPr>
      </w:pPr>
      <w:r>
        <w:rPr>
          <w:b/>
          <w:bCs/>
          <w:i/>
          <w:iCs/>
        </w:rPr>
        <w:t>Proposal 4: Set both DL and UL emission limit to align with allowed BS emission levels. As an exception, additional emission requirements specified as absolute power limits, such as EESS protection, can align with UE specification.</w:t>
      </w: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435628FA" w:rsidR="004E1DB4" w:rsidRDefault="00904C26" w:rsidP="004E1DB4">
      <w:pPr>
        <w:rPr>
          <w:lang w:val="en-US"/>
        </w:rPr>
      </w:pPr>
      <w:r w:rsidRPr="00F50CA4">
        <w:rPr>
          <w:lang w:val="en-US"/>
        </w:rPr>
        <w:t>In</w:t>
      </w:r>
      <w:r w:rsidR="004E1DB4">
        <w:rPr>
          <w:lang w:val="en-US"/>
        </w:rPr>
        <w:t xml:space="preserve"> this contribution </w:t>
      </w:r>
      <w:r w:rsidR="005E0614">
        <w:rPr>
          <w:lang w:val="en-US"/>
        </w:rPr>
        <w:t>NR repeater OTA unwanted emissions were discussed. Following observation and proposals were made:</w:t>
      </w:r>
    </w:p>
    <w:p w14:paraId="45A026E5" w14:textId="77777777" w:rsidR="005E0614" w:rsidRPr="001776CD" w:rsidRDefault="005E0614" w:rsidP="005E0614">
      <w:pPr>
        <w:tabs>
          <w:tab w:val="left" w:pos="7935"/>
        </w:tabs>
        <w:rPr>
          <w:b/>
          <w:bCs/>
          <w:i/>
          <w:iCs/>
        </w:rPr>
      </w:pPr>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rPr>
        <w:t>1</w:t>
      </w:r>
      <w:r w:rsidRPr="001776CD">
        <w:rPr>
          <w:b/>
          <w:bCs/>
          <w:i/>
          <w:iCs/>
        </w:rPr>
        <w:fldChar w:fldCharType="end"/>
      </w:r>
      <w:r w:rsidRPr="001776CD">
        <w:rPr>
          <w:b/>
          <w:bCs/>
          <w:i/>
          <w:iCs/>
        </w:rPr>
        <w:t xml:space="preserve">: As ACLR depends on the desired signal power, it may not be measurable if the desired signal power is very or if it is in the scale of noise power level. </w:t>
      </w:r>
    </w:p>
    <w:p w14:paraId="2C00FEE0" w14:textId="1798C893" w:rsidR="005E0614" w:rsidRDefault="005E0614" w:rsidP="005E0614">
      <w:pPr>
        <w:tabs>
          <w:tab w:val="left" w:pos="7935"/>
        </w:tabs>
        <w:rPr>
          <w:b/>
          <w:bCs/>
          <w:i/>
          <w:iCs/>
        </w:rPr>
      </w:pPr>
      <w:r w:rsidRPr="001776CD">
        <w:rPr>
          <w:b/>
          <w:bCs/>
          <w:i/>
          <w:iCs/>
        </w:rPr>
        <w:t xml:space="preserve">Observation </w:t>
      </w:r>
      <w:r w:rsidRPr="001776CD">
        <w:rPr>
          <w:b/>
          <w:bCs/>
          <w:i/>
          <w:iCs/>
        </w:rPr>
        <w:fldChar w:fldCharType="begin"/>
      </w:r>
      <w:r w:rsidRPr="001776CD">
        <w:rPr>
          <w:b/>
          <w:bCs/>
          <w:i/>
          <w:iCs/>
        </w:rPr>
        <w:instrText xml:space="preserve"> SEQ Observation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OBUE is an upper bound, which is independent on the signal power level, defined to limit the unwanted emissions in the adjacent bands. </w:t>
      </w:r>
    </w:p>
    <w:p w14:paraId="2BBCC41D" w14:textId="77777777" w:rsidR="005E0614" w:rsidRDefault="005E0614" w:rsidP="005E0614">
      <w:pPr>
        <w:tabs>
          <w:tab w:val="left" w:pos="7935"/>
        </w:tabs>
        <w:rPr>
          <w:b/>
          <w:bCs/>
          <w:i/>
          <w:iCs/>
        </w:rPr>
      </w:pPr>
      <w:r w:rsidRPr="001776CD">
        <w:rPr>
          <w:b/>
          <w:bCs/>
          <w:i/>
          <w:iCs/>
        </w:rPr>
        <w:lastRenderedPageBreak/>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1</w:t>
      </w:r>
      <w:r w:rsidRPr="001776CD">
        <w:rPr>
          <w:b/>
          <w:bCs/>
          <w:i/>
          <w:iCs/>
        </w:rPr>
        <w:fldChar w:fldCharType="end"/>
      </w:r>
      <w:r w:rsidRPr="001776CD">
        <w:rPr>
          <w:b/>
          <w:bCs/>
          <w:i/>
          <w:iCs/>
        </w:rPr>
        <w:t xml:space="preserve">: For NR repeaters, if the signal level is in the scale of noise power level, it is meaningful to use OBUE as a metric to measure the unwanted emissions in the adjacent channels, instead of ACLR. </w:t>
      </w:r>
    </w:p>
    <w:p w14:paraId="03BC6614" w14:textId="77777777" w:rsidR="005E0614" w:rsidRPr="001776CD" w:rsidRDefault="005E0614" w:rsidP="005E0614">
      <w:pPr>
        <w:tabs>
          <w:tab w:val="left" w:pos="7935"/>
        </w:tabs>
        <w:rPr>
          <w:rFonts w:eastAsia="Batang"/>
          <w:lang w:eastAsia="ko-KR"/>
        </w:rPr>
      </w:pPr>
      <w:r>
        <w:rPr>
          <w:b/>
          <w:bCs/>
          <w:i/>
          <w:iCs/>
        </w:rPr>
        <w:t>Proposal 2: Specify relative ACLR to guarantee emissions performance at lower than maximum output power level. Further discuss in performance part of the work whether ACLR can be verified.</w:t>
      </w:r>
    </w:p>
    <w:p w14:paraId="6CC4FABD" w14:textId="77777777" w:rsidR="005E0614" w:rsidRPr="001776CD" w:rsidRDefault="005E0614" w:rsidP="005E0614">
      <w:pPr>
        <w:tabs>
          <w:tab w:val="left" w:pos="7935"/>
        </w:tabs>
        <w:rPr>
          <w:rFonts w:eastAsia="Batang"/>
          <w:lang w:eastAsia="ko-KR"/>
        </w:rPr>
      </w:pPr>
      <w:r w:rsidRPr="001776CD">
        <w:rPr>
          <w:b/>
          <w:bCs/>
          <w:i/>
          <w:iCs/>
        </w:rPr>
        <w:t>Observation 3</w:t>
      </w:r>
      <w:r>
        <w:rPr>
          <w:b/>
          <w:bCs/>
          <w:i/>
          <w:iCs/>
        </w:rPr>
        <w:t>: i</w:t>
      </w:r>
      <w:r w:rsidRPr="001776CD">
        <w:rPr>
          <w:b/>
          <w:bCs/>
          <w:i/>
          <w:iCs/>
        </w:rPr>
        <w:fldChar w:fldCharType="begin"/>
      </w:r>
      <w:r w:rsidRPr="001776CD">
        <w:rPr>
          <w:b/>
          <w:bCs/>
          <w:i/>
          <w:iCs/>
        </w:rPr>
        <w:instrText xml:space="preserve"> SEQ Observation \* ARABIC </w:instrText>
      </w:r>
      <w:r w:rsidRPr="001776CD">
        <w:rPr>
          <w:b/>
          <w:bCs/>
          <w:i/>
          <w:iCs/>
        </w:rPr>
        <w:fldChar w:fldCharType="end"/>
      </w:r>
      <w:r w:rsidRPr="001776CD">
        <w:rPr>
          <w:b/>
          <w:bCs/>
          <w:i/>
          <w:iCs/>
        </w:rPr>
        <w:t xml:space="preserve">n case of NR repeaters that operate in </w:t>
      </w:r>
      <w:proofErr w:type="spellStart"/>
      <w:r w:rsidRPr="001776CD">
        <w:rPr>
          <w:b/>
          <w:bCs/>
          <w:i/>
          <w:iCs/>
        </w:rPr>
        <w:t>noncontiguous</w:t>
      </w:r>
      <w:proofErr w:type="spellEnd"/>
      <w:r w:rsidRPr="001776CD">
        <w:rPr>
          <w:b/>
          <w:bCs/>
          <w:i/>
          <w:iCs/>
        </w:rPr>
        <w:t xml:space="preserve"> spectrum, CACLR may not be a suitable metric to measure the unwanted emissions in the adjacent band. </w:t>
      </w:r>
    </w:p>
    <w:p w14:paraId="5B537502" w14:textId="5BD40577" w:rsidR="005E0614" w:rsidRDefault="005E0614" w:rsidP="005E0614">
      <w:pPr>
        <w:tabs>
          <w:tab w:val="left" w:pos="7935"/>
        </w:tabs>
        <w:rPr>
          <w:b/>
          <w:bCs/>
          <w:i/>
          <w:iCs/>
        </w:rPr>
      </w:pPr>
      <w:r w:rsidRPr="001776CD">
        <w:rPr>
          <w:b/>
          <w:bCs/>
          <w:i/>
          <w:iCs/>
        </w:rPr>
        <w:t xml:space="preserve">Proposal </w:t>
      </w:r>
      <w:r w:rsidRPr="001776CD">
        <w:rPr>
          <w:b/>
          <w:bCs/>
          <w:i/>
          <w:iCs/>
        </w:rPr>
        <w:fldChar w:fldCharType="begin"/>
      </w:r>
      <w:r w:rsidRPr="001776CD">
        <w:rPr>
          <w:b/>
          <w:bCs/>
          <w:i/>
          <w:iCs/>
        </w:rPr>
        <w:instrText xml:space="preserve"> SEQ Proposal \* ARABIC </w:instrText>
      </w:r>
      <w:r w:rsidRPr="001776CD">
        <w:rPr>
          <w:b/>
          <w:bCs/>
          <w:i/>
          <w:iCs/>
        </w:rPr>
        <w:fldChar w:fldCharType="separate"/>
      </w:r>
      <w:r w:rsidRPr="001776CD">
        <w:rPr>
          <w:b/>
          <w:bCs/>
          <w:i/>
          <w:iCs/>
          <w:noProof/>
        </w:rPr>
        <w:t>2</w:t>
      </w:r>
      <w:r w:rsidRPr="001776CD">
        <w:rPr>
          <w:b/>
          <w:bCs/>
          <w:i/>
          <w:iCs/>
        </w:rPr>
        <w:fldChar w:fldCharType="end"/>
      </w:r>
      <w:r w:rsidRPr="001776CD">
        <w:rPr>
          <w:b/>
          <w:bCs/>
          <w:i/>
          <w:iCs/>
        </w:rPr>
        <w:t xml:space="preserve">: For NR repeaters that operate in </w:t>
      </w:r>
      <w:proofErr w:type="spellStart"/>
      <w:r w:rsidRPr="001776CD">
        <w:rPr>
          <w:b/>
          <w:bCs/>
          <w:i/>
          <w:iCs/>
        </w:rPr>
        <w:t>noncontiguous</w:t>
      </w:r>
      <w:proofErr w:type="spellEnd"/>
      <w:r w:rsidRPr="001776CD">
        <w:rPr>
          <w:b/>
          <w:bCs/>
          <w:i/>
          <w:iCs/>
        </w:rPr>
        <w:t xml:space="preserve"> spectrum, OBUE can be used to measure the unwanted emissions in each sub-block gap</w:t>
      </w:r>
    </w:p>
    <w:p w14:paraId="3437B396" w14:textId="77777777" w:rsidR="005E0614" w:rsidRDefault="005E0614" w:rsidP="005E0614">
      <w:pPr>
        <w:pStyle w:val="ListParagraph"/>
        <w:tabs>
          <w:tab w:val="left" w:pos="7935"/>
        </w:tabs>
        <w:ind w:left="0"/>
        <w:rPr>
          <w:b/>
          <w:bCs/>
          <w:i/>
          <w:iCs/>
        </w:rPr>
      </w:pPr>
      <w:r w:rsidRPr="001776CD">
        <w:rPr>
          <w:b/>
          <w:bCs/>
          <w:i/>
          <w:iCs/>
        </w:rPr>
        <w:t xml:space="preserve">Observation 4: Direct re-use of gNB/IAB OBUE requirements may not be possible as it would result in different level of protection for adjacent channel operation in case no ACLR </w:t>
      </w:r>
      <w:r>
        <w:rPr>
          <w:b/>
          <w:bCs/>
          <w:i/>
          <w:iCs/>
        </w:rPr>
        <w:t>verification test can be defined</w:t>
      </w:r>
      <w:r w:rsidRPr="001776CD">
        <w:rPr>
          <w:b/>
          <w:bCs/>
          <w:i/>
          <w:iCs/>
        </w:rPr>
        <w:t>.</w:t>
      </w:r>
    </w:p>
    <w:p w14:paraId="57F15184" w14:textId="77777777" w:rsidR="005E0614" w:rsidRDefault="005E0614" w:rsidP="005E0614">
      <w:pPr>
        <w:pStyle w:val="ListParagraph"/>
        <w:tabs>
          <w:tab w:val="left" w:pos="7935"/>
        </w:tabs>
        <w:ind w:left="0"/>
        <w:rPr>
          <w:b/>
          <w:bCs/>
          <w:i/>
          <w:iCs/>
        </w:rPr>
      </w:pPr>
    </w:p>
    <w:p w14:paraId="5FD10E7E" w14:textId="77777777" w:rsidR="005E0614" w:rsidRDefault="005E0614" w:rsidP="005E0614">
      <w:pPr>
        <w:pStyle w:val="ListParagraph"/>
        <w:tabs>
          <w:tab w:val="left" w:pos="7935"/>
        </w:tabs>
        <w:ind w:left="0"/>
        <w:rPr>
          <w:b/>
          <w:bCs/>
          <w:i/>
          <w:iCs/>
        </w:rPr>
      </w:pPr>
      <w:r>
        <w:rPr>
          <w:b/>
          <w:bCs/>
          <w:i/>
          <w:iCs/>
        </w:rPr>
        <w:t>Proposal 3: To guarantee emission performance at maximum output power level in case ACLR verification test is not possible, set OBUE emission level to correspond with relative ACLR emission limit</w:t>
      </w:r>
    </w:p>
    <w:p w14:paraId="235491D3" w14:textId="77777777" w:rsidR="005E0614" w:rsidRDefault="005E0614" w:rsidP="005E0614">
      <w:pPr>
        <w:pStyle w:val="ListParagraph"/>
        <w:tabs>
          <w:tab w:val="left" w:pos="7935"/>
        </w:tabs>
        <w:ind w:left="0"/>
        <w:rPr>
          <w:b/>
          <w:bCs/>
          <w:i/>
          <w:iCs/>
        </w:rPr>
      </w:pPr>
    </w:p>
    <w:p w14:paraId="5B6ED2F7" w14:textId="7E6B1933" w:rsidR="005E0614" w:rsidRPr="005E0614" w:rsidRDefault="005E0614" w:rsidP="005E0614">
      <w:pPr>
        <w:pStyle w:val="ListParagraph"/>
        <w:tabs>
          <w:tab w:val="left" w:pos="7935"/>
        </w:tabs>
        <w:ind w:left="0"/>
        <w:rPr>
          <w:b/>
          <w:bCs/>
          <w:i/>
          <w:iCs/>
        </w:rPr>
      </w:pPr>
      <w:r>
        <w:rPr>
          <w:b/>
          <w:bCs/>
          <w:i/>
          <w:iCs/>
        </w:rPr>
        <w:t>Proposal 4: Set both DL and UL emission limit to align with allowed BS emission levels. As an exception, additional emission requirements specified as absolute power limits, such as EESS protection, can align with UE specification.</w:t>
      </w:r>
    </w:p>
    <w:p w14:paraId="00F116C1" w14:textId="77777777" w:rsidR="00904C26" w:rsidRDefault="00904C26" w:rsidP="00904C26">
      <w:pPr>
        <w:pStyle w:val="Heading1"/>
        <w:ind w:left="0" w:firstLine="0"/>
        <w:rPr>
          <w:lang w:val="en-US"/>
        </w:rPr>
      </w:pPr>
      <w:r w:rsidRPr="00A51BCB">
        <w:rPr>
          <w:lang w:val="en-US"/>
        </w:rPr>
        <w:t>References</w:t>
      </w:r>
    </w:p>
    <w:p w14:paraId="15F15B3B" w14:textId="5D2DC48C" w:rsidR="00904C26" w:rsidRDefault="004E1DB4" w:rsidP="00080DA2">
      <w:pPr>
        <w:pStyle w:val="EX"/>
        <w:numPr>
          <w:ilvl w:val="0"/>
          <w:numId w:val="14"/>
        </w:numPr>
        <w:tabs>
          <w:tab w:val="clear" w:pos="720"/>
        </w:tabs>
        <w:overflowPunct/>
        <w:autoSpaceDE/>
        <w:autoSpaceDN/>
        <w:adjustRightInd/>
        <w:ind w:left="0" w:firstLine="0"/>
        <w:textAlignment w:val="auto"/>
      </w:pPr>
      <w:bookmarkStart w:id="10" w:name="_Ref67746720"/>
      <w:bookmarkStart w:id="11" w:name="_Ref67692346"/>
      <w:bookmarkStart w:id="12" w:name="_Ref66807513"/>
      <w:bookmarkStart w:id="13" w:name="_Ref67499305"/>
      <w:bookmarkStart w:id="14" w:name="_Hlk71480576"/>
      <w:r w:rsidRPr="00932B22">
        <w:t>R</w:t>
      </w:r>
      <w:r w:rsidR="00097CC6" w:rsidRPr="00932B22">
        <w:t>4</w:t>
      </w:r>
      <w:r w:rsidRPr="00932B22">
        <w:t>-210</w:t>
      </w:r>
      <w:r w:rsidR="00932B22">
        <w:t>6112</w:t>
      </w:r>
      <w:r w:rsidRPr="009A0687">
        <w:t xml:space="preserve">, </w:t>
      </w:r>
      <w:r w:rsidRPr="00097CC6">
        <w:rPr>
          <w:i/>
          <w:iCs/>
        </w:rPr>
        <w:t>WF for NR repeater RF requirements</w:t>
      </w:r>
      <w:bookmarkEnd w:id="10"/>
      <w:r>
        <w:t xml:space="preserve"> </w:t>
      </w:r>
      <w:bookmarkEnd w:id="0"/>
      <w:bookmarkEnd w:id="11"/>
      <w:bookmarkEnd w:id="12"/>
      <w:bookmarkEnd w:id="13"/>
    </w:p>
    <w:bookmarkEnd w:id="14"/>
    <w:p w14:paraId="18CF872C" w14:textId="44535384" w:rsidR="001776CD" w:rsidRDefault="001776CD" w:rsidP="001776CD">
      <w:pPr>
        <w:pStyle w:val="EX"/>
        <w:tabs>
          <w:tab w:val="left" w:pos="426"/>
        </w:tabs>
        <w:overflowPunct/>
        <w:autoSpaceDE/>
        <w:autoSpaceDN/>
        <w:adjustRightInd/>
        <w:ind w:left="0" w:firstLine="0"/>
        <w:textAlignment w:val="auto"/>
      </w:pPr>
      <w:r>
        <w:t xml:space="preserve">[2] 3GPP </w:t>
      </w:r>
      <w:r w:rsidRPr="00543AFE">
        <w:t>TR 125</w:t>
      </w:r>
      <w:r>
        <w:t> </w:t>
      </w:r>
      <w:r w:rsidRPr="00543AFE">
        <w:t>956</w:t>
      </w:r>
      <w:r>
        <w:t xml:space="preserve">, </w:t>
      </w:r>
      <w:r w:rsidRPr="00CD33D1">
        <w:t>Universal Mobile Telecommunications System (UMTS);</w:t>
      </w:r>
      <w:r>
        <w:t xml:space="preserve"> </w:t>
      </w:r>
      <w:r w:rsidRPr="00CD33D1">
        <w:t>UTRA repeater: Planning guidelines and system analysis</w:t>
      </w:r>
    </w:p>
    <w:p w14:paraId="0F293918" w14:textId="3993E5EA" w:rsidR="001776CD" w:rsidRPr="00D633BC" w:rsidRDefault="001776CD" w:rsidP="00D633BC">
      <w:pPr>
        <w:pStyle w:val="EX"/>
        <w:tabs>
          <w:tab w:val="left" w:pos="426"/>
        </w:tabs>
        <w:overflowPunct/>
        <w:autoSpaceDE/>
        <w:autoSpaceDN/>
        <w:adjustRightInd/>
        <w:ind w:left="0" w:firstLine="0"/>
        <w:textAlignment w:val="auto"/>
        <w:rPr>
          <w:highlight w:val="yellow"/>
        </w:rPr>
      </w:pPr>
    </w:p>
    <w:sectPr w:rsidR="001776CD" w:rsidRPr="00D633B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15D44" w14:textId="77777777" w:rsidR="00C9391B" w:rsidRDefault="00C9391B">
      <w:r>
        <w:separator/>
      </w:r>
    </w:p>
    <w:p w14:paraId="2583A683" w14:textId="77777777" w:rsidR="00C9391B" w:rsidRDefault="00C9391B"/>
  </w:endnote>
  <w:endnote w:type="continuationSeparator" w:id="0">
    <w:p w14:paraId="45E9ABB9" w14:textId="77777777" w:rsidR="00C9391B" w:rsidRDefault="00C9391B">
      <w:r>
        <w:continuationSeparator/>
      </w:r>
    </w:p>
    <w:p w14:paraId="306DAB74" w14:textId="77777777" w:rsidR="00C9391B" w:rsidRDefault="00C93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79BD0" w14:textId="77777777" w:rsidR="00C9391B" w:rsidRDefault="00C9391B">
      <w:r>
        <w:separator/>
      </w:r>
    </w:p>
    <w:p w14:paraId="74916EA0" w14:textId="77777777" w:rsidR="00C9391B" w:rsidRDefault="00C9391B"/>
  </w:footnote>
  <w:footnote w:type="continuationSeparator" w:id="0">
    <w:p w14:paraId="6760826C" w14:textId="77777777" w:rsidR="00C9391B" w:rsidRDefault="00C9391B">
      <w:r>
        <w:continuationSeparator/>
      </w:r>
    </w:p>
    <w:p w14:paraId="7C784A57" w14:textId="77777777" w:rsidR="00C9391B" w:rsidRDefault="00C93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360"/>
        </w:tabs>
        <w:ind w:left="360" w:hanging="360"/>
      </w:pPr>
      <w:rPr>
        <w:rFonts w:ascii="Arial" w:hAnsi="Arial" w:hint="default"/>
      </w:rPr>
    </w:lvl>
    <w:lvl w:ilvl="1" w:tplc="91CCB310">
      <w:start w:val="1860"/>
      <w:numFmt w:val="bullet"/>
      <w:lvlText w:val="–"/>
      <w:lvlJc w:val="left"/>
      <w:pPr>
        <w:tabs>
          <w:tab w:val="num" w:pos="1080"/>
        </w:tabs>
        <w:ind w:left="1080" w:hanging="360"/>
      </w:pPr>
      <w:rPr>
        <w:rFonts w:ascii="Arial" w:hAnsi="Arial" w:hint="default"/>
      </w:rPr>
    </w:lvl>
    <w:lvl w:ilvl="2" w:tplc="24C0353A">
      <w:start w:val="1"/>
      <w:numFmt w:val="bullet"/>
      <w:lvlText w:val="•"/>
      <w:lvlJc w:val="left"/>
      <w:pPr>
        <w:tabs>
          <w:tab w:val="num" w:pos="1800"/>
        </w:tabs>
        <w:ind w:left="1800" w:hanging="360"/>
      </w:pPr>
      <w:rPr>
        <w:rFonts w:ascii="Arial" w:hAnsi="Arial" w:hint="default"/>
      </w:rPr>
    </w:lvl>
    <w:lvl w:ilvl="3" w:tplc="54BC1C02" w:tentative="1">
      <w:start w:val="1"/>
      <w:numFmt w:val="bullet"/>
      <w:lvlText w:val="•"/>
      <w:lvlJc w:val="left"/>
      <w:pPr>
        <w:tabs>
          <w:tab w:val="num" w:pos="2520"/>
        </w:tabs>
        <w:ind w:left="2520" w:hanging="360"/>
      </w:pPr>
      <w:rPr>
        <w:rFonts w:ascii="Arial" w:hAnsi="Arial" w:hint="default"/>
      </w:rPr>
    </w:lvl>
    <w:lvl w:ilvl="4" w:tplc="BE847598" w:tentative="1">
      <w:start w:val="1"/>
      <w:numFmt w:val="bullet"/>
      <w:lvlText w:val="•"/>
      <w:lvlJc w:val="left"/>
      <w:pPr>
        <w:tabs>
          <w:tab w:val="num" w:pos="3240"/>
        </w:tabs>
        <w:ind w:left="3240" w:hanging="360"/>
      </w:pPr>
      <w:rPr>
        <w:rFonts w:ascii="Arial" w:hAnsi="Arial" w:hint="default"/>
      </w:rPr>
    </w:lvl>
    <w:lvl w:ilvl="5" w:tplc="C2385CFA" w:tentative="1">
      <w:start w:val="1"/>
      <w:numFmt w:val="bullet"/>
      <w:lvlText w:val="•"/>
      <w:lvlJc w:val="left"/>
      <w:pPr>
        <w:tabs>
          <w:tab w:val="num" w:pos="3960"/>
        </w:tabs>
        <w:ind w:left="3960" w:hanging="360"/>
      </w:pPr>
      <w:rPr>
        <w:rFonts w:ascii="Arial" w:hAnsi="Arial" w:hint="default"/>
      </w:rPr>
    </w:lvl>
    <w:lvl w:ilvl="6" w:tplc="50FE8CEA" w:tentative="1">
      <w:start w:val="1"/>
      <w:numFmt w:val="bullet"/>
      <w:lvlText w:val="•"/>
      <w:lvlJc w:val="left"/>
      <w:pPr>
        <w:tabs>
          <w:tab w:val="num" w:pos="4680"/>
        </w:tabs>
        <w:ind w:left="4680" w:hanging="360"/>
      </w:pPr>
      <w:rPr>
        <w:rFonts w:ascii="Arial" w:hAnsi="Arial" w:hint="default"/>
      </w:rPr>
    </w:lvl>
    <w:lvl w:ilvl="7" w:tplc="73168D66" w:tentative="1">
      <w:start w:val="1"/>
      <w:numFmt w:val="bullet"/>
      <w:lvlText w:val="•"/>
      <w:lvlJc w:val="left"/>
      <w:pPr>
        <w:tabs>
          <w:tab w:val="num" w:pos="5400"/>
        </w:tabs>
        <w:ind w:left="5400" w:hanging="360"/>
      </w:pPr>
      <w:rPr>
        <w:rFonts w:ascii="Arial" w:hAnsi="Arial" w:hint="default"/>
      </w:rPr>
    </w:lvl>
    <w:lvl w:ilvl="8" w:tplc="000E7EA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D1338"/>
    <w:multiLevelType w:val="hybridMultilevel"/>
    <w:tmpl w:val="ED28D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9C448DD"/>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9"/>
  </w:num>
  <w:num w:numId="3">
    <w:abstractNumId w:val="37"/>
  </w:num>
  <w:num w:numId="4">
    <w:abstractNumId w:val="7"/>
  </w:num>
  <w:num w:numId="5">
    <w:abstractNumId w:val="3"/>
  </w:num>
  <w:num w:numId="6">
    <w:abstractNumId w:val="36"/>
  </w:num>
  <w:num w:numId="7">
    <w:abstractNumId w:val="30"/>
  </w:num>
  <w:num w:numId="8">
    <w:abstractNumId w:val="34"/>
  </w:num>
  <w:num w:numId="9">
    <w:abstractNumId w:val="8"/>
  </w:num>
  <w:num w:numId="10">
    <w:abstractNumId w:val="25"/>
  </w:num>
  <w:num w:numId="11">
    <w:abstractNumId w:val="39"/>
  </w:num>
  <w:num w:numId="12">
    <w:abstractNumId w:val="16"/>
  </w:num>
  <w:num w:numId="13">
    <w:abstractNumId w:val="32"/>
  </w:num>
  <w:num w:numId="14">
    <w:abstractNumId w:val="27"/>
  </w:num>
  <w:num w:numId="15">
    <w:abstractNumId w:val="13"/>
  </w:num>
  <w:num w:numId="16">
    <w:abstractNumId w:val="6"/>
  </w:num>
  <w:num w:numId="17">
    <w:abstractNumId w:val="2"/>
  </w:num>
  <w:num w:numId="18">
    <w:abstractNumId w:val="0"/>
  </w:num>
  <w:num w:numId="19">
    <w:abstractNumId w:val="14"/>
  </w:num>
  <w:num w:numId="20">
    <w:abstractNumId w:val="5"/>
  </w:num>
  <w:num w:numId="21">
    <w:abstractNumId w:val="31"/>
  </w:num>
  <w:num w:numId="22">
    <w:abstractNumId w:val="17"/>
  </w:num>
  <w:num w:numId="23">
    <w:abstractNumId w:val="18"/>
  </w:num>
  <w:num w:numId="24">
    <w:abstractNumId w:val="21"/>
  </w:num>
  <w:num w:numId="25">
    <w:abstractNumId w:val="28"/>
  </w:num>
  <w:num w:numId="26">
    <w:abstractNumId w:val="19"/>
  </w:num>
  <w:num w:numId="27">
    <w:abstractNumId w:val="26"/>
  </w:num>
  <w:num w:numId="28">
    <w:abstractNumId w:val="29"/>
  </w:num>
  <w:num w:numId="29">
    <w:abstractNumId w:val="20"/>
  </w:num>
  <w:num w:numId="30">
    <w:abstractNumId w:val="4"/>
  </w:num>
  <w:num w:numId="31">
    <w:abstractNumId w:val="23"/>
  </w:num>
  <w:num w:numId="32">
    <w:abstractNumId w:val="15"/>
  </w:num>
  <w:num w:numId="33">
    <w:abstractNumId w:val="22"/>
  </w:num>
  <w:num w:numId="34">
    <w:abstractNumId w:val="35"/>
  </w:num>
  <w:num w:numId="35">
    <w:abstractNumId w:val="11"/>
  </w:num>
  <w:num w:numId="36">
    <w:abstractNumId w:val="1"/>
  </w:num>
  <w:num w:numId="37">
    <w:abstractNumId w:val="38"/>
  </w:num>
  <w:num w:numId="38">
    <w:abstractNumId w:val="12"/>
  </w:num>
  <w:num w:numId="39">
    <w:abstractNumId w:val="10"/>
  </w:num>
  <w:num w:numId="40">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3947"/>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0DA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776CD"/>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0D1D"/>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2154"/>
    <w:rsid w:val="003641BA"/>
    <w:rsid w:val="00365001"/>
    <w:rsid w:val="003658DF"/>
    <w:rsid w:val="00365B75"/>
    <w:rsid w:val="003663F8"/>
    <w:rsid w:val="00367713"/>
    <w:rsid w:val="0037228F"/>
    <w:rsid w:val="00373293"/>
    <w:rsid w:val="00374315"/>
    <w:rsid w:val="00375488"/>
    <w:rsid w:val="00376CFA"/>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475F"/>
    <w:rsid w:val="00495897"/>
    <w:rsid w:val="004970FE"/>
    <w:rsid w:val="004974D7"/>
    <w:rsid w:val="004A0F2B"/>
    <w:rsid w:val="004A34E7"/>
    <w:rsid w:val="004A4379"/>
    <w:rsid w:val="004A7EEB"/>
    <w:rsid w:val="004B2CD1"/>
    <w:rsid w:val="004B3310"/>
    <w:rsid w:val="004B3E9B"/>
    <w:rsid w:val="004B4BBE"/>
    <w:rsid w:val="004B6A00"/>
    <w:rsid w:val="004B7EB4"/>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614"/>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3B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0D6C"/>
    <w:rsid w:val="00712846"/>
    <w:rsid w:val="00712C06"/>
    <w:rsid w:val="00712FEF"/>
    <w:rsid w:val="007145F5"/>
    <w:rsid w:val="007147F4"/>
    <w:rsid w:val="00717D9B"/>
    <w:rsid w:val="00724AFD"/>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161C"/>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06E"/>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2FF9"/>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1711A"/>
    <w:rsid w:val="00920430"/>
    <w:rsid w:val="00921FE8"/>
    <w:rsid w:val="00923194"/>
    <w:rsid w:val="00923C29"/>
    <w:rsid w:val="00923EE6"/>
    <w:rsid w:val="00926175"/>
    <w:rsid w:val="00926ADC"/>
    <w:rsid w:val="00927270"/>
    <w:rsid w:val="0093038E"/>
    <w:rsid w:val="009304ED"/>
    <w:rsid w:val="009326F4"/>
    <w:rsid w:val="00932B22"/>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23B5"/>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17AE2"/>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B6D"/>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91B"/>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3539"/>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3B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2677"/>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32D7"/>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4D685F1"/>
    <w:rsid w:val="0A37BC3C"/>
    <w:rsid w:val="0AE80AD1"/>
    <w:rsid w:val="1973DE9F"/>
    <w:rsid w:val="19A5D298"/>
    <w:rsid w:val="39271502"/>
    <w:rsid w:val="4846F1D8"/>
    <w:rsid w:val="494EB7FA"/>
    <w:rsid w:val="54204445"/>
    <w:rsid w:val="5F4246AB"/>
    <w:rsid w:val="62E33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36817">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74843809">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5AIRPNAIUNRU-1328258698-4332</_dlc_DocId>
    <_dlc_DocIdUrl xmlns="71c5aaf6-e6ce-465b-b873-5148d2a4c105">
      <Url>https://nokia.sharepoint.com/sites/c5g/5gradio/_layouts/15/DocIdRedir.aspx?ID=5AIRPNAIUNRU-1328258698-4332</Url>
      <Description>5AIRPNAIUNRU-1328258698-4332</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EC483-4B23-4BA1-B541-9C8A8FA36E85}">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5.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EB5AA8-25E7-4EF0-9FF9-169C45701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1205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Kapuruhamy, Manosha (Nokia - FI/Oulu)</cp:lastModifiedBy>
  <cp:revision>6</cp:revision>
  <cp:lastPrinted>2013-03-22T14:57:00Z</cp:lastPrinted>
  <dcterms:created xsi:type="dcterms:W3CDTF">2021-05-09T16:17:00Z</dcterms:created>
  <dcterms:modified xsi:type="dcterms:W3CDTF">2021-05-11T09:04:00Z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f146c4c1-bee5-40da-aaa9-c44a77388c30</vt:lpwstr>
  </property>
</Properties>
</file>